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76" w:lineRule="auto"/>
        <w:ind w:left="420" w:leftChars="200"/>
        <w:rPr>
          <w:rFonts w:hint="eastAsia" w:ascii="仿宋_GB2312" w:eastAsia="仿宋_GB2312" w:cs="宋体"/>
          <w:color w:val="FF0000"/>
          <w:kern w:val="0"/>
          <w:szCs w:val="21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zh-CN"/>
        </w:rPr>
        <w:t>注：1.</w:t>
      </w:r>
      <w:r>
        <w:rPr>
          <w:rFonts w:ascii="仿宋_GB2312" w:eastAsia="仿宋_GB2312" w:cs="宋体"/>
          <w:b/>
          <w:color w:val="0000FF"/>
          <w:kern w:val="0"/>
          <w:szCs w:val="21"/>
          <w:lang w:val="zh-CN"/>
        </w:rPr>
        <w:t xml:space="preserve"> 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质量报告中涉及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的财务数据（如经费、工资）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时间节点均为201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9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年</w:t>
      </w:r>
      <w:r>
        <w:rPr>
          <w:rFonts w:hint="eastAsia" w:ascii="仿宋_GB2312" w:eastAsia="仿宋_GB2312" w:cs="??_GB2312"/>
          <w:color w:val="FF0000"/>
          <w:kern w:val="0"/>
          <w:szCs w:val="21"/>
        </w:rPr>
        <w:t>12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月</w:t>
      </w:r>
      <w:r>
        <w:rPr>
          <w:rFonts w:hint="eastAsia" w:ascii="仿宋_GB2312" w:eastAsia="仿宋_GB2312" w:cs="??_GB2312"/>
          <w:color w:val="FF0000"/>
          <w:kern w:val="0"/>
          <w:szCs w:val="21"/>
        </w:rPr>
        <w:t>31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日。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教学数据（学生、教师、专业、课程等）按学年计算，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采集时间段为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为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2019年8月1日-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20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20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年</w:t>
      </w:r>
      <w:r>
        <w:rPr>
          <w:rFonts w:hint="eastAsia" w:ascii="仿宋_GB2312" w:eastAsia="仿宋_GB2312" w:cs="??_GB2312"/>
          <w:color w:val="FF0000"/>
          <w:kern w:val="0"/>
          <w:szCs w:val="21"/>
          <w:lang w:val="en-US" w:eastAsia="zh-CN"/>
        </w:rPr>
        <w:t>7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月</w:t>
      </w:r>
      <w:r>
        <w:rPr>
          <w:rFonts w:ascii="仿宋_GB2312" w:eastAsia="仿宋_GB2312" w:cs="??_GB2312"/>
          <w:color w:val="FF0000"/>
          <w:kern w:val="0"/>
          <w:szCs w:val="21"/>
        </w:rPr>
        <w:t>31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日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。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其中，各类学生数统计时间截点与基本状态数据采集一致，截止到2020年9月30日，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教学数据中的学生数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不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包括2020届毕业生数，包括2020级新生数。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en-US" w:eastAsia="zh-CN"/>
        </w:rPr>
        <w:t>2</w:t>
      </w:r>
      <w:r>
        <w:rPr>
          <w:rFonts w:ascii="仿宋_GB2312" w:eastAsia="仿宋_GB2312" w:cs="宋体"/>
          <w:b/>
          <w:color w:val="0000FF"/>
          <w:kern w:val="0"/>
          <w:szCs w:val="21"/>
        </w:rPr>
        <w:t>.</w:t>
      </w:r>
      <w:r>
        <w:rPr>
          <w:rFonts w:hint="eastAsia" w:ascii="仿宋_GB2312" w:eastAsia="仿宋_GB2312" w:cs="宋体"/>
          <w:color w:val="0000FF"/>
          <w:kern w:val="0"/>
          <w:szCs w:val="21"/>
        </w:rPr>
        <w:t xml:space="preserve"> 凡标注“近三年”的项目，统计时间为201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7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年1月1日—201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9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年12月31日。请直接填写具体数字，不用填写计量单位。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  <w:lang w:val="zh-CN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en-US" w:eastAsia="zh-CN"/>
        </w:rPr>
        <w:t>3</w:t>
      </w:r>
      <w:r>
        <w:rPr>
          <w:rFonts w:hint="eastAsia" w:ascii="仿宋_GB2312" w:eastAsia="仿宋_GB2312" w:cs="宋体"/>
          <w:b/>
          <w:color w:val="0000FF"/>
          <w:kern w:val="0"/>
          <w:szCs w:val="21"/>
        </w:rPr>
        <w:t>.</w:t>
      </w:r>
      <w:r>
        <w:rPr>
          <w:rFonts w:hint="eastAsia" w:ascii="仿宋_GB2312" w:eastAsia="仿宋_GB2312" w:cs="宋体"/>
          <w:color w:val="0000FF"/>
          <w:kern w:val="0"/>
          <w:szCs w:val="21"/>
        </w:rPr>
        <w:t xml:space="preserve"> 各相关单位需填写表格中</w:t>
      </w:r>
      <w:r>
        <w:rPr>
          <w:rFonts w:hint="eastAsia" w:ascii="仿宋_GB2312" w:eastAsia="仿宋_GB2312" w:cs="宋体"/>
          <w:color w:val="0000FF"/>
          <w:kern w:val="0"/>
          <w:szCs w:val="21"/>
          <w:highlight w:val="yellow"/>
        </w:rPr>
        <w:t>标黄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数据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  <w:lang w:val="zh-CN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en-US" w:eastAsia="zh-CN"/>
        </w:rPr>
        <w:t>4</w:t>
      </w:r>
      <w:r>
        <w:rPr>
          <w:rFonts w:hint="eastAsia" w:ascii="仿宋_GB2312" w:eastAsia="仿宋_GB2312" w:cs="宋体"/>
          <w:b/>
          <w:color w:val="0000FF"/>
          <w:kern w:val="0"/>
          <w:szCs w:val="21"/>
        </w:rPr>
        <w:t>.</w:t>
      </w:r>
      <w:r>
        <w:rPr>
          <w:rFonts w:hint="eastAsia" w:ascii="仿宋_GB2312" w:eastAsia="仿宋_GB2312" w:cs="宋体"/>
          <w:color w:val="0000FF"/>
          <w:kern w:val="0"/>
          <w:szCs w:val="21"/>
        </w:rPr>
        <w:t xml:space="preserve"> 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电子版表格请发送至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c</w:t>
      </w:r>
      <w:r>
        <w:rPr>
          <w:rFonts w:ascii="仿宋_GB2312" w:eastAsia="仿宋_GB2312" w:cs="宋体"/>
          <w:color w:val="0000FF"/>
          <w:kern w:val="0"/>
          <w:szCs w:val="21"/>
        </w:rPr>
        <w:t>fxy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jfzx</w:t>
      </w:r>
      <w:r>
        <w:rPr>
          <w:rFonts w:ascii="仿宋_GB2312" w:eastAsia="仿宋_GB2312" w:cs="宋体"/>
          <w:color w:val="0000FF"/>
          <w:kern w:val="0"/>
          <w:szCs w:val="21"/>
        </w:rPr>
        <w:t>@1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63</w:t>
      </w:r>
      <w:r>
        <w:rPr>
          <w:rFonts w:ascii="仿宋_GB2312" w:eastAsia="仿宋_GB2312" w:cs="宋体"/>
          <w:color w:val="0000FF"/>
          <w:kern w:val="0"/>
          <w:szCs w:val="21"/>
        </w:rPr>
        <w:t>.com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，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纸质版表格需签字盖章后送至逸夫理工楼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5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39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室，截止日期为20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20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年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10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月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8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日。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  <w:bookmarkStart w:id="0" w:name="_GoBack"/>
      <w:bookmarkEnd w:id="0"/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>数据采集责任单位（盖章）：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研究生处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>填报日期：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>领导签字：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rPr>
          <w:rFonts w:hint="eastAsia" w:ascii="仿宋_GB2312" w:eastAsia="仿宋_GB2312" w:cs="黑体"/>
          <w:color w:val="auto"/>
          <w:kern w:val="0"/>
          <w:sz w:val="28"/>
          <w:szCs w:val="28"/>
          <w:highlight w:val="none"/>
          <w:lang w:val="zh-CN"/>
        </w:rPr>
      </w:pPr>
      <w:r>
        <w:rPr>
          <w:rFonts w:hint="eastAsia" w:ascii="仿宋_GB2312" w:eastAsia="仿宋_GB2312" w:cs="黑体"/>
          <w:color w:val="auto"/>
          <w:kern w:val="0"/>
          <w:sz w:val="28"/>
          <w:szCs w:val="28"/>
          <w:highlight w:val="none"/>
          <w:lang w:val="zh-CN"/>
        </w:rPr>
        <w:t>附件3-1</w:t>
      </w:r>
    </w:p>
    <w:p>
      <w:pPr>
        <w:autoSpaceDE w:val="0"/>
        <w:autoSpaceDN w:val="0"/>
        <w:adjustRightInd w:val="0"/>
        <w:jc w:val="center"/>
        <w:rPr>
          <w:rFonts w:hint="eastAsia" w:ascii="宋体" w:cs="宋体"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黑体"/>
          <w:b/>
          <w:color w:val="auto"/>
          <w:kern w:val="0"/>
          <w:sz w:val="32"/>
          <w:szCs w:val="32"/>
          <w:highlight w:val="none"/>
          <w:u w:val="single"/>
          <w:lang w:val="zh-CN"/>
        </w:rPr>
        <w:t xml:space="preserve">              </w:t>
      </w:r>
      <w:r>
        <w:rPr>
          <w:rFonts w:hint="eastAsia" w:ascii="宋体" w:cs="黑体"/>
          <w:b/>
          <w:color w:val="auto"/>
          <w:kern w:val="0"/>
          <w:sz w:val="32"/>
          <w:szCs w:val="32"/>
          <w:highlight w:val="none"/>
          <w:lang w:val="zh-CN"/>
        </w:rPr>
        <w:t>大学（学院）本科教学质量报告支撑数据表格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before="240" w:beforeLines="100" w:after="120" w:afterLines="50"/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zh-CN"/>
        </w:rPr>
        <w:t>本科生占全日制在校生总数的比例</w:t>
      </w:r>
    </w:p>
    <w:p>
      <w:pPr>
        <w:autoSpaceDE w:val="0"/>
        <w:autoSpaceDN w:val="0"/>
        <w:adjustRightInd w:val="0"/>
        <w:spacing w:before="120" w:beforeLines="5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1.各类学生整体情况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（教务处、研究生处）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927"/>
        <w:gridCol w:w="942"/>
        <w:gridCol w:w="906"/>
        <w:gridCol w:w="911"/>
        <w:gridCol w:w="914"/>
        <w:gridCol w:w="911"/>
        <w:gridCol w:w="914"/>
        <w:gridCol w:w="911"/>
        <w:gridCol w:w="911"/>
        <w:gridCol w:w="911"/>
        <w:gridCol w:w="911"/>
        <w:gridCol w:w="914"/>
        <w:gridCol w:w="1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9" w:type="pct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本科生数</w:t>
            </w:r>
          </w:p>
        </w:tc>
        <w:tc>
          <w:tcPr>
            <w:tcW w:w="350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普通（高职）专科生数</w:t>
            </w:r>
          </w:p>
        </w:tc>
        <w:tc>
          <w:tcPr>
            <w:tcW w:w="705" w:type="pct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highlight w:val="yellow"/>
                <w:vertAlign w:val="baseline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硕士研究生数（含留学生）</w:t>
            </w:r>
          </w:p>
        </w:tc>
        <w:tc>
          <w:tcPr>
            <w:tcW w:w="705" w:type="pct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highlight w:val="yellow"/>
                <w:vertAlign w:val="baseline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博士研究生（含留学生）</w:t>
            </w:r>
          </w:p>
        </w:tc>
        <w:tc>
          <w:tcPr>
            <w:tcW w:w="352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预科阶段学生数</w:t>
            </w:r>
          </w:p>
        </w:tc>
        <w:tc>
          <w:tcPr>
            <w:tcW w:w="352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进修生数</w:t>
            </w:r>
          </w:p>
        </w:tc>
        <w:tc>
          <w:tcPr>
            <w:tcW w:w="352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函授生数</w:t>
            </w:r>
          </w:p>
        </w:tc>
        <w:tc>
          <w:tcPr>
            <w:tcW w:w="352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全日制在校生数</w:t>
            </w:r>
          </w:p>
        </w:tc>
        <w:tc>
          <w:tcPr>
            <w:tcW w:w="353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折合在校生数</w:t>
            </w:r>
          </w:p>
        </w:tc>
        <w:tc>
          <w:tcPr>
            <w:tcW w:w="396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本科生占全日制在校生总数的比例（%）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普通本科生数</w:t>
            </w:r>
          </w:p>
        </w:tc>
        <w:tc>
          <w:tcPr>
            <w:tcW w:w="358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留学生数</w:t>
            </w:r>
          </w:p>
        </w:tc>
        <w:tc>
          <w:tcPr>
            <w:tcW w:w="36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已转段预科生数</w:t>
            </w:r>
          </w:p>
        </w:tc>
        <w:tc>
          <w:tcPr>
            <w:tcW w:w="350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全日制</w:t>
            </w:r>
          </w:p>
        </w:tc>
        <w:tc>
          <w:tcPr>
            <w:tcW w:w="35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非全日制</w:t>
            </w:r>
          </w:p>
        </w:tc>
        <w:tc>
          <w:tcPr>
            <w:tcW w:w="35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全日制</w:t>
            </w:r>
          </w:p>
        </w:tc>
        <w:tc>
          <w:tcPr>
            <w:tcW w:w="35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非全日制</w:t>
            </w:r>
          </w:p>
        </w:tc>
        <w:tc>
          <w:tcPr>
            <w:tcW w:w="352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352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352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352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353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396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358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36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0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9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</w:tbl>
    <w:p>
      <w:pPr>
        <w:tabs>
          <w:tab w:val="center" w:pos="4702"/>
        </w:tabs>
        <w:autoSpaceDE w:val="0"/>
        <w:autoSpaceDN w:val="0"/>
        <w:adjustRightInd w:val="0"/>
        <w:spacing w:after="120" w:afterLines="50"/>
        <w:rPr>
          <w:rFonts w:hint="eastAsia" w:ascii="宋体" w:cs="宋体"/>
          <w:b w:val="0"/>
          <w:bCs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cs="宋体"/>
          <w:b w:val="0"/>
          <w:bCs/>
          <w:color w:val="auto"/>
          <w:kern w:val="0"/>
          <w:sz w:val="20"/>
          <w:szCs w:val="20"/>
          <w:highlight w:val="none"/>
          <w:lang w:val="en-US" w:eastAsia="zh-CN"/>
        </w:rPr>
        <w:t>注：各类学生统计时间截点与基本状态数据采集一致。</w:t>
      </w:r>
    </w:p>
    <w:p>
      <w:pPr>
        <w:tabs>
          <w:tab w:val="center" w:pos="4702"/>
        </w:tabs>
        <w:autoSpaceDE w:val="0"/>
        <w:autoSpaceDN w:val="0"/>
        <w:adjustRightInd w:val="0"/>
        <w:spacing w:after="120" w:afterLines="50"/>
        <w:rPr>
          <w:rFonts w:hint="default" w:ascii="宋体" w:eastAsia="宋体" w:cs="宋体"/>
          <w:b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en-US" w:eastAsia="zh-CN"/>
        </w:rPr>
        <w:t>2.留学生情况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（教务处、研究生处）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3"/>
        <w:gridCol w:w="3233"/>
        <w:gridCol w:w="3234"/>
        <w:gridCol w:w="3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4" w:type="dxa"/>
            <w:gridSpan w:val="4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留学生数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33" w:type="dxa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总计</w:t>
            </w:r>
          </w:p>
        </w:tc>
        <w:tc>
          <w:tcPr>
            <w:tcW w:w="3233" w:type="dxa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本科生</w:t>
            </w:r>
          </w:p>
        </w:tc>
        <w:tc>
          <w:tcPr>
            <w:tcW w:w="3234" w:type="dxa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硕士研究生</w:t>
            </w:r>
          </w:p>
        </w:tc>
        <w:tc>
          <w:tcPr>
            <w:tcW w:w="3234" w:type="dxa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博士研究生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33" w:type="dxa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3233" w:type="dxa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3234" w:type="dxa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3234" w:type="dxa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</w:tr>
    </w:tbl>
    <w:p>
      <w:pPr>
        <w:tabs>
          <w:tab w:val="center" w:pos="4702"/>
        </w:tabs>
        <w:autoSpaceDE w:val="0"/>
        <w:autoSpaceDN w:val="0"/>
        <w:adjustRightInd w:val="0"/>
        <w:spacing w:after="120" w:afterLines="50"/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en-US" w:eastAsia="zh-CN"/>
        </w:rPr>
      </w:pPr>
    </w:p>
    <w:p>
      <w:pPr>
        <w:tabs>
          <w:tab w:val="center" w:pos="4702"/>
        </w:tabs>
        <w:autoSpaceDE w:val="0"/>
        <w:autoSpaceDN w:val="0"/>
        <w:adjustRightInd w:val="0"/>
        <w:spacing w:after="120" w:afterLines="50"/>
        <w:rPr>
          <w:rFonts w:hint="default" w:ascii="宋体" w:eastAsia="宋体" w:cs="宋体"/>
          <w:b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en-US" w:eastAsia="zh-CN"/>
        </w:rPr>
        <w:t>2.少数民族学生情况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（教务处、研究生处）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3"/>
        <w:gridCol w:w="2584"/>
        <w:gridCol w:w="2584"/>
        <w:gridCol w:w="2584"/>
        <w:gridCol w:w="25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少数民族学生数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pct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总计</w:t>
            </w:r>
          </w:p>
        </w:tc>
        <w:tc>
          <w:tcPr>
            <w:tcW w:w="999" w:type="pct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本科生</w:t>
            </w:r>
          </w:p>
        </w:tc>
        <w:tc>
          <w:tcPr>
            <w:tcW w:w="999" w:type="pct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专科生</w:t>
            </w:r>
          </w:p>
        </w:tc>
        <w:tc>
          <w:tcPr>
            <w:tcW w:w="999" w:type="pct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研究生</w:t>
            </w:r>
          </w:p>
        </w:tc>
        <w:tc>
          <w:tcPr>
            <w:tcW w:w="1000" w:type="pct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预科班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pct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999" w:type="pct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999" w:type="pct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999" w:type="pct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1000" w:type="pct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</w:tr>
    </w:tbl>
    <w:p>
      <w:pPr>
        <w:tabs>
          <w:tab w:val="center" w:pos="4702"/>
        </w:tabs>
        <w:autoSpaceDE w:val="0"/>
        <w:autoSpaceDN w:val="0"/>
        <w:adjustRightInd w:val="0"/>
        <w:spacing w:after="120" w:afterLines="50"/>
        <w:ind w:firstLine="197" w:firstLineChars="98"/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zh-CN"/>
        </w:rPr>
      </w:pPr>
    </w:p>
    <w:p>
      <w:pPr>
        <w:rPr>
          <w:rFonts w:hint="eastAsia" w:ascii="宋体" w:cs="宋体"/>
          <w:color w:val="auto"/>
          <w:kern w:val="0"/>
          <w:szCs w:val="21"/>
          <w:highlight w:val="none"/>
          <w:lang w:val="zh-CN"/>
        </w:rPr>
        <w:sectPr>
          <w:footerReference r:id="rId3" w:type="default"/>
          <w:pgSz w:w="15840" w:h="12240" w:orient="landscape"/>
          <w:pgMar w:top="1701" w:right="1701" w:bottom="1418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linePitch="312" w:charSpace="0"/>
        </w:sectPr>
      </w:pPr>
      <w:r>
        <w:rPr>
          <w:rFonts w:hint="eastAsia" w:ascii="仿宋_GB2312" w:eastAsia="仿宋_GB2312" w:cs="宋体"/>
          <w:b/>
          <w:color w:val="auto"/>
          <w:kern w:val="0"/>
          <w:szCs w:val="21"/>
          <w:highlight w:val="none"/>
          <w:lang w:val="zh-CN"/>
        </w:rPr>
        <w:t>注：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质量报告中涉及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en-US" w:eastAsia="zh-CN"/>
        </w:rPr>
        <w:t>的财务数据（如经费、工资）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时间节点均为201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en-US" w:eastAsia="zh-CN"/>
        </w:rPr>
        <w:t>9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年</w:t>
      </w:r>
      <w:r>
        <w:rPr>
          <w:rFonts w:hint="eastAsia" w:ascii="仿宋_GB2312" w:eastAsia="仿宋_GB2312" w:cs="??_GB2312"/>
          <w:color w:val="auto"/>
          <w:kern w:val="0"/>
          <w:szCs w:val="21"/>
          <w:highlight w:val="none"/>
        </w:rPr>
        <w:t>12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月</w:t>
      </w:r>
      <w:r>
        <w:rPr>
          <w:rFonts w:hint="eastAsia" w:ascii="仿宋_GB2312" w:eastAsia="仿宋_GB2312" w:cs="??_GB2312"/>
          <w:color w:val="auto"/>
          <w:kern w:val="0"/>
          <w:szCs w:val="21"/>
          <w:highlight w:val="none"/>
        </w:rPr>
        <w:t>31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日；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en-US" w:eastAsia="zh-CN"/>
        </w:rPr>
        <w:t>教学数据（学生、教师、专业、课程等）按学年计算，为2019年8月1日至2020年7月31日。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数据的计算方法参照《教育部关于印发〈普通高等学校基本办学条件指标（试行）〉的通知》（教发</w:t>
      </w:r>
      <w:r>
        <w:rPr>
          <w:rFonts w:hint="eastAsia" w:ascii="仿宋_GB2312" w:eastAsia="仿宋_GB2312" w:cs="??_GB2312"/>
          <w:color w:val="auto"/>
          <w:kern w:val="0"/>
          <w:szCs w:val="21"/>
          <w:highlight w:val="none"/>
        </w:rPr>
        <w:t>〔2004〕2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号文件）以及《教育部办公厅关于开展普通高等学校本科教学工作合格评估的通知》（教高厅</w:t>
      </w:r>
      <w:r>
        <w:rPr>
          <w:rFonts w:hint="eastAsia" w:ascii="仿宋_GB2312" w:eastAsia="仿宋_GB2312" w:cs="??_GB2312"/>
          <w:color w:val="auto"/>
          <w:kern w:val="0"/>
          <w:szCs w:val="21"/>
          <w:highlight w:val="none"/>
        </w:rPr>
        <w:t>〔2011〕2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号文件）。</w:t>
      </w:r>
    </w:p>
    <w:p>
      <w:pPr>
        <w:autoSpaceDE w:val="0"/>
        <w:autoSpaceDN w:val="0"/>
        <w:adjustRightInd w:val="0"/>
        <w:spacing w:line="320" w:lineRule="exact"/>
        <w:rPr>
          <w:rFonts w:hint="eastAsia" w:ascii="楷体_GB2312" w:eastAsia="楷体_GB2312" w:cs="Calibri"/>
          <w:color w:val="auto"/>
          <w:kern w:val="0"/>
          <w:sz w:val="28"/>
          <w:szCs w:val="28"/>
          <w:highlight w:val="none"/>
        </w:rPr>
      </w:pPr>
      <w:r>
        <w:rPr>
          <w:rFonts w:hint="eastAsia" w:ascii="楷体_GB2312" w:eastAsia="楷体_GB2312" w:cs="Calibri"/>
          <w:color w:val="auto"/>
          <w:kern w:val="0"/>
          <w:sz w:val="28"/>
          <w:szCs w:val="28"/>
          <w:highlight w:val="none"/>
        </w:rPr>
        <w:t>附件3-4</w:t>
      </w:r>
    </w:p>
    <w:p>
      <w:pPr>
        <w:autoSpaceDE w:val="0"/>
        <w:autoSpaceDN w:val="0"/>
        <w:adjustRightInd w:val="0"/>
        <w:spacing w:after="120" w:afterLines="50" w:line="320" w:lineRule="exact"/>
        <w:jc w:val="center"/>
        <w:rPr>
          <w:rFonts w:hint="eastAsia" w:ascii="宋体" w:cs="黑体"/>
          <w:b/>
          <w:color w:val="auto"/>
          <w:kern w:val="0"/>
          <w:sz w:val="30"/>
          <w:szCs w:val="30"/>
          <w:highlight w:val="none"/>
          <w:lang w:val="zh-CN"/>
        </w:rPr>
      </w:pPr>
      <w:r>
        <w:rPr>
          <w:rFonts w:hint="eastAsia" w:ascii="宋体" w:cs="Calibri"/>
          <w:color w:val="auto"/>
          <w:kern w:val="0"/>
          <w:sz w:val="32"/>
          <w:szCs w:val="32"/>
          <w:highlight w:val="none"/>
          <w:u w:val="single"/>
        </w:rPr>
        <w:t xml:space="preserve">             </w:t>
      </w:r>
      <w:r>
        <w:rPr>
          <w:rFonts w:hint="eastAsia" w:ascii="宋体" w:cs="黑体"/>
          <w:b/>
          <w:color w:val="auto"/>
          <w:kern w:val="0"/>
          <w:sz w:val="30"/>
          <w:szCs w:val="30"/>
          <w:highlight w:val="none"/>
          <w:lang w:val="zh-CN"/>
        </w:rPr>
        <w:t>大学（学院）学科建设情况汇总表</w:t>
      </w:r>
    </w:p>
    <w:tbl>
      <w:tblPr>
        <w:tblStyle w:val="4"/>
        <w:tblpPr w:leftFromText="180" w:rightFromText="180" w:vertAnchor="text" w:horzAnchor="page" w:tblpX="1690" w:tblpY="21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813"/>
        <w:gridCol w:w="813"/>
        <w:gridCol w:w="818"/>
        <w:gridCol w:w="552"/>
        <w:gridCol w:w="1026"/>
        <w:gridCol w:w="1133"/>
        <w:gridCol w:w="1133"/>
        <w:gridCol w:w="836"/>
        <w:gridCol w:w="529"/>
        <w:gridCol w:w="1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65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分类</w:t>
            </w:r>
          </w:p>
        </w:tc>
        <w:tc>
          <w:tcPr>
            <w:tcW w:w="2444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项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目</w:t>
            </w:r>
          </w:p>
        </w:tc>
        <w:tc>
          <w:tcPr>
            <w:tcW w:w="157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数量</w:t>
            </w:r>
          </w:p>
        </w:tc>
        <w:tc>
          <w:tcPr>
            <w:tcW w:w="3102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项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目</w:t>
            </w:r>
          </w:p>
        </w:tc>
        <w:tc>
          <w:tcPr>
            <w:tcW w:w="1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总数</w:t>
            </w: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en-US" w:eastAsia="zh-CN"/>
              </w:rPr>
              <w:t>2019-2020学年新增</w:t>
            </w:r>
          </w:p>
        </w:tc>
        <w:tc>
          <w:tcPr>
            <w:tcW w:w="3102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总数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en-US" w:eastAsia="zh-CN"/>
              </w:rPr>
              <w:t>2019-2020学年新增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657" w:type="dxa"/>
            <w:vMerge w:val="restart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教师队伍</w:t>
            </w: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两院院士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长江学者、国家杰青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新世纪“百千万人才工程”国家级人选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国家级优秀教师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引进海外高层次人才“千人计划”人选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</w:rPr>
              <w:t>“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草原英才”工程人选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626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五一劳动奖章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国家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266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自治区“新世纪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</w:rPr>
              <w:t>321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人才工程”</w:t>
            </w:r>
          </w:p>
        </w:tc>
        <w:tc>
          <w:tcPr>
            <w:tcW w:w="8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一层次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626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自治区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266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8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二层次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享受国务院特殊津贴者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自治区有突出贡献的中青年专家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“草原英才”工程产业创新人才团队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内蒙古杰出人才奖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教育部创新团队、国家自然科学基金委创新研究群体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657" w:type="dxa"/>
            <w:vMerge w:val="restart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科学研究（近三年）</w:t>
            </w:r>
          </w:p>
        </w:tc>
        <w:tc>
          <w:tcPr>
            <w:tcW w:w="1626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6"/>
                <w:szCs w:val="16"/>
                <w:highlight w:val="none"/>
                <w:lang w:val="zh-CN"/>
              </w:rPr>
              <w:t>国家自然科学奖、技术发明奖、科技进步奖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一等奖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266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5"/>
                <w:szCs w:val="15"/>
                <w:highlight w:val="none"/>
                <w:lang w:val="zh-CN"/>
              </w:rPr>
              <w:t>省级自然科学奖、技科技进步奖、哲学社会科学优秀成果政府奖</w:t>
            </w:r>
          </w:p>
        </w:tc>
        <w:tc>
          <w:tcPr>
            <w:tcW w:w="8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一等奖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626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二等奖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266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8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二等奖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专利（著作权）授权数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科研成果转化数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出版专著数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主编教材数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657" w:type="dxa"/>
            <w:vMerge w:val="restart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学科情况</w:t>
            </w: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国家一流学科数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自治区一流建设学科数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国家重点实验室数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省部级重点实验室数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81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博士授权学科</w:t>
            </w:r>
          </w:p>
        </w:tc>
        <w:tc>
          <w:tcPr>
            <w:tcW w:w="16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一级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113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硕士授权学科</w:t>
            </w:r>
          </w:p>
        </w:tc>
        <w:tc>
          <w:tcPr>
            <w:tcW w:w="19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一级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8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16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3"/>
                <w:szCs w:val="13"/>
                <w:highlight w:val="yellow"/>
                <w:lang w:val="zh-CN"/>
              </w:rPr>
              <w:t>二级A(已有一级学科所包含的二级学科)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11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19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3"/>
                <w:szCs w:val="13"/>
                <w:highlight w:val="yellow"/>
                <w:lang w:val="zh-CN"/>
              </w:rPr>
              <w:t>二级A(已有一级学科所包含的二级学科)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8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16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3"/>
                <w:szCs w:val="13"/>
                <w:highlight w:val="yellow"/>
                <w:lang w:val="zh-CN"/>
              </w:rPr>
              <w:t>二级B(不含已有一级学科所包含的二级学科)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11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19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3"/>
                <w:szCs w:val="13"/>
                <w:highlight w:val="yellow"/>
                <w:lang w:val="zh-CN"/>
              </w:rPr>
              <w:t>二级B(不含已有一级学科所包含的二级学科)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专业学位授权领域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博士后流动站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  <w:t>专业学位授权类别数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dxa"/>
            <w:vMerge w:val="restart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对外交流</w:t>
            </w: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境外交流学习或联合培养国家（地区）数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境外交流学习或联合培养学校（机构）数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近三年全日制境外交流学习或联合培养的人数（一个学期及以上）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近三年接收境外本科学生人数（一个学期及以上）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ind w:leftChars="-86" w:right="-535" w:rightChars="-255" w:hanging="181" w:hangingChars="100"/>
        <w:rPr>
          <w:color w:val="auto"/>
          <w:highlight w:val="none"/>
        </w:rPr>
      </w:pPr>
      <w:r>
        <w:rPr>
          <w:rFonts w:hint="eastAsia" w:ascii="仿宋_GB2312" w:eastAsia="仿宋_GB2312" w:cs="宋体"/>
          <w:b/>
          <w:color w:val="auto"/>
          <w:kern w:val="0"/>
          <w:sz w:val="18"/>
          <w:szCs w:val="18"/>
          <w:highlight w:val="none"/>
          <w:lang w:val="zh-CN"/>
        </w:rPr>
        <w:t>注：</w:t>
      </w:r>
      <w:r>
        <w:rPr>
          <w:rFonts w:hint="eastAsia" w:ascii="仿宋_GB2312" w:eastAsia="仿宋_GB2312" w:cs="宋体"/>
          <w:color w:val="auto"/>
          <w:kern w:val="0"/>
          <w:sz w:val="18"/>
          <w:szCs w:val="18"/>
          <w:highlight w:val="none"/>
          <w:lang w:val="zh-CN"/>
        </w:rPr>
        <w:t>凡标注“近三年”的项目，统计时间为</w:t>
      </w:r>
      <w:r>
        <w:rPr>
          <w:rFonts w:hint="eastAsia" w:ascii="仿宋_GB2312" w:eastAsia="仿宋_GB2312" w:cs="Calibri"/>
          <w:color w:val="auto"/>
          <w:kern w:val="0"/>
          <w:sz w:val="18"/>
          <w:szCs w:val="18"/>
          <w:highlight w:val="none"/>
        </w:rPr>
        <w:t>201</w:t>
      </w:r>
      <w:r>
        <w:rPr>
          <w:rFonts w:hint="eastAsia" w:ascii="仿宋_GB2312" w:eastAsia="仿宋_GB2312" w:cs="Calibri"/>
          <w:color w:val="auto"/>
          <w:kern w:val="0"/>
          <w:sz w:val="18"/>
          <w:szCs w:val="18"/>
          <w:highlight w:val="none"/>
          <w:lang w:val="en-US" w:eastAsia="zh-CN"/>
        </w:rPr>
        <w:t>7</w:t>
      </w:r>
      <w:r>
        <w:rPr>
          <w:rFonts w:hint="eastAsia" w:ascii="仿宋_GB2312" w:eastAsia="仿宋_GB2312" w:cs="宋体"/>
          <w:color w:val="auto"/>
          <w:kern w:val="0"/>
          <w:sz w:val="18"/>
          <w:szCs w:val="18"/>
          <w:highlight w:val="none"/>
          <w:lang w:val="zh-CN"/>
        </w:rPr>
        <w:t>年</w:t>
      </w:r>
      <w:r>
        <w:rPr>
          <w:rFonts w:hint="eastAsia" w:ascii="仿宋_GB2312" w:eastAsia="仿宋_GB2312" w:cs="Calibri"/>
          <w:color w:val="auto"/>
          <w:kern w:val="0"/>
          <w:sz w:val="18"/>
          <w:szCs w:val="18"/>
          <w:highlight w:val="none"/>
        </w:rPr>
        <w:t>1</w:t>
      </w:r>
      <w:r>
        <w:rPr>
          <w:rFonts w:hint="eastAsia" w:ascii="仿宋_GB2312" w:eastAsia="仿宋_GB2312" w:cs="宋体"/>
          <w:color w:val="auto"/>
          <w:kern w:val="0"/>
          <w:sz w:val="18"/>
          <w:szCs w:val="18"/>
          <w:highlight w:val="none"/>
          <w:lang w:val="zh-CN"/>
        </w:rPr>
        <w:t>月</w:t>
      </w:r>
      <w:r>
        <w:rPr>
          <w:rFonts w:hint="eastAsia" w:ascii="仿宋_GB2312" w:eastAsia="仿宋_GB2312" w:cs="Calibri"/>
          <w:color w:val="auto"/>
          <w:kern w:val="0"/>
          <w:sz w:val="18"/>
          <w:szCs w:val="18"/>
          <w:highlight w:val="none"/>
        </w:rPr>
        <w:t>1</w:t>
      </w:r>
      <w:r>
        <w:rPr>
          <w:rFonts w:hint="eastAsia" w:ascii="仿宋_GB2312" w:eastAsia="仿宋_GB2312" w:cs="宋体"/>
          <w:color w:val="auto"/>
          <w:kern w:val="0"/>
          <w:sz w:val="18"/>
          <w:szCs w:val="18"/>
          <w:highlight w:val="none"/>
          <w:lang w:val="zh-CN"/>
        </w:rPr>
        <w:t>日—</w:t>
      </w:r>
      <w:r>
        <w:rPr>
          <w:rFonts w:hint="eastAsia" w:ascii="仿宋_GB2312" w:eastAsia="仿宋_GB2312" w:cs="Calibri"/>
          <w:color w:val="auto"/>
          <w:kern w:val="0"/>
          <w:sz w:val="18"/>
          <w:szCs w:val="18"/>
          <w:highlight w:val="none"/>
        </w:rPr>
        <w:t>201</w:t>
      </w:r>
      <w:r>
        <w:rPr>
          <w:rFonts w:hint="eastAsia" w:ascii="仿宋_GB2312" w:eastAsia="仿宋_GB2312" w:cs="Calibri"/>
          <w:color w:val="auto"/>
          <w:kern w:val="0"/>
          <w:sz w:val="18"/>
          <w:szCs w:val="18"/>
          <w:highlight w:val="none"/>
          <w:lang w:val="en-US" w:eastAsia="zh-CN"/>
        </w:rPr>
        <w:t>9</w:t>
      </w:r>
      <w:r>
        <w:rPr>
          <w:rFonts w:hint="eastAsia" w:ascii="仿宋_GB2312" w:eastAsia="仿宋_GB2312" w:cs="宋体"/>
          <w:color w:val="auto"/>
          <w:kern w:val="0"/>
          <w:sz w:val="18"/>
          <w:szCs w:val="18"/>
          <w:highlight w:val="none"/>
          <w:lang w:val="zh-CN"/>
        </w:rPr>
        <w:t>年</w:t>
      </w:r>
      <w:r>
        <w:rPr>
          <w:rFonts w:hint="eastAsia" w:ascii="仿宋_GB2312" w:eastAsia="仿宋_GB2312" w:cs="Calibri"/>
          <w:color w:val="auto"/>
          <w:kern w:val="0"/>
          <w:sz w:val="18"/>
          <w:szCs w:val="18"/>
          <w:highlight w:val="none"/>
        </w:rPr>
        <w:t>12</w:t>
      </w:r>
      <w:r>
        <w:rPr>
          <w:rFonts w:hint="eastAsia" w:ascii="仿宋_GB2312" w:eastAsia="仿宋_GB2312" w:cs="宋体"/>
          <w:color w:val="auto"/>
          <w:kern w:val="0"/>
          <w:sz w:val="18"/>
          <w:szCs w:val="18"/>
          <w:highlight w:val="none"/>
          <w:lang w:val="zh-CN"/>
        </w:rPr>
        <w:t>月</w:t>
      </w:r>
      <w:r>
        <w:rPr>
          <w:rFonts w:hint="eastAsia" w:ascii="仿宋_GB2312" w:eastAsia="仿宋_GB2312" w:cs="Calibri"/>
          <w:color w:val="auto"/>
          <w:kern w:val="0"/>
          <w:sz w:val="18"/>
          <w:szCs w:val="18"/>
          <w:highlight w:val="none"/>
        </w:rPr>
        <w:t>31</w:t>
      </w:r>
      <w:r>
        <w:rPr>
          <w:rFonts w:hint="eastAsia" w:ascii="仿宋_GB2312" w:eastAsia="仿宋_GB2312" w:cs="宋体"/>
          <w:color w:val="auto"/>
          <w:kern w:val="0"/>
          <w:sz w:val="18"/>
          <w:szCs w:val="18"/>
          <w:highlight w:val="none"/>
          <w:lang w:val="zh-CN"/>
        </w:rPr>
        <w:t>日。请直接填写具体数字，不用填写计量单位。</w:t>
      </w:r>
    </w:p>
    <w:p/>
    <w:sectPr>
      <w:pgSz w:w="12240" w:h="15840"/>
      <w:pgMar w:top="1701" w:right="1418" w:bottom="1418" w:left="170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lear" w:pos="4153"/>
        <w:tab w:val="clear" w:pos="8306"/>
      </w:tabs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17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17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6EF2D9"/>
    <w:multiLevelType w:val="singleLevel"/>
    <w:tmpl w:val="546EF2D9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204290"/>
    <w:rsid w:val="49C77440"/>
    <w:rsid w:val="4ED249A6"/>
    <w:rsid w:val="68CE65CA"/>
    <w:rsid w:val="7CD14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HP-111</dc:creator>
  <cp:lastModifiedBy>潤雨</cp:lastModifiedBy>
  <dcterms:modified xsi:type="dcterms:W3CDTF">2020-10-02T01:51:14Z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